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F4C24" w14:textId="2A2C514F" w:rsidR="00984D21" w:rsidRPr="002D3E50" w:rsidRDefault="00984D21" w:rsidP="002D3E50">
      <w:pPr>
        <w:spacing w:after="120" w:line="264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2D3E50">
        <w:rPr>
          <w:rFonts w:ascii="Times New Roman" w:hAnsi="Times New Roman" w:cs="Times New Roman"/>
          <w:snapToGrid w:val="0"/>
          <w:sz w:val="24"/>
          <w:szCs w:val="24"/>
        </w:rPr>
        <w:t xml:space="preserve">Załącznik nr 8 do SIWZ </w:t>
      </w:r>
    </w:p>
    <w:p w14:paraId="5505E29F" w14:textId="547BFC8C" w:rsidR="002D3E50" w:rsidRPr="00984D21" w:rsidRDefault="00984D21" w:rsidP="006E52F0">
      <w:pPr>
        <w:spacing w:after="120"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Szczegółowy opis porozumiewania się zamawiającego z Dostawcami</w:t>
      </w:r>
      <w:r w:rsidR="001E2FA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</w:t>
      </w:r>
      <w:r w:rsidR="002D3E50">
        <w:rPr>
          <w:rFonts w:ascii="Times New Roman" w:hAnsi="Times New Roman" w:cs="Times New Roman"/>
          <w:b/>
          <w:snapToGrid w:val="0"/>
          <w:sz w:val="24"/>
          <w:szCs w:val="24"/>
        </w:rPr>
        <w:t>wymagania techniczne i organizacyjne korzystania z Platformy Zakupowej.</w:t>
      </w:r>
    </w:p>
    <w:p w14:paraId="0D1C4EC0" w14:textId="78CEBF0C" w:rsidR="001F3D97" w:rsidRPr="00984D21" w:rsidRDefault="001F3D97" w:rsidP="001F3D97">
      <w:pPr>
        <w:pStyle w:val="Akapitzlist"/>
        <w:numPr>
          <w:ilvl w:val="0"/>
          <w:numId w:val="1"/>
        </w:numPr>
        <w:tabs>
          <w:tab w:val="left" w:pos="567"/>
        </w:tabs>
        <w:spacing w:after="120" w:line="264" w:lineRule="auto"/>
        <w:ind w:left="425" w:hanging="425"/>
        <w:contextualSpacing w:val="0"/>
        <w:jc w:val="both"/>
        <w:rPr>
          <w:b/>
          <w:snapToGrid w:val="0"/>
          <w:sz w:val="24"/>
          <w:szCs w:val="24"/>
        </w:rPr>
      </w:pPr>
      <w:r w:rsidRPr="00984D21">
        <w:rPr>
          <w:b/>
          <w:snapToGrid w:val="0"/>
          <w:sz w:val="24"/>
          <w:szCs w:val="24"/>
        </w:rPr>
        <w:t>Informacje o sposobie poro</w:t>
      </w:r>
      <w:r w:rsidR="00984D21">
        <w:rPr>
          <w:b/>
          <w:snapToGrid w:val="0"/>
          <w:sz w:val="24"/>
          <w:szCs w:val="24"/>
        </w:rPr>
        <w:t>zumiewania się zamawiającego z dost</w:t>
      </w:r>
      <w:r w:rsidRPr="00984D21">
        <w:rPr>
          <w:b/>
          <w:snapToGrid w:val="0"/>
          <w:sz w:val="24"/>
          <w:szCs w:val="24"/>
        </w:rPr>
        <w:t>awcami oraz przekazywania oświadczeń lub dokumentów, a także wskazanie osób uprawniony</w:t>
      </w:r>
      <w:r w:rsidR="00984D21">
        <w:rPr>
          <w:b/>
          <w:snapToGrid w:val="0"/>
          <w:sz w:val="24"/>
          <w:szCs w:val="24"/>
        </w:rPr>
        <w:t>ch do porozumiewania się z dost</w:t>
      </w:r>
      <w:r w:rsidRPr="00984D21">
        <w:rPr>
          <w:b/>
          <w:snapToGrid w:val="0"/>
          <w:sz w:val="24"/>
          <w:szCs w:val="24"/>
        </w:rPr>
        <w:t>awcami.</w:t>
      </w:r>
    </w:p>
    <w:p w14:paraId="14AAAC7B" w14:textId="77777777" w:rsidR="00BC1420" w:rsidRPr="00984D21" w:rsidRDefault="00BC1420" w:rsidP="00BC14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>Postępowanie</w:t>
      </w:r>
      <w:r w:rsidRPr="00984D21">
        <w:rPr>
          <w:rFonts w:ascii="Times New Roman" w:hAnsi="Times New Roman" w:cs="Times New Roman"/>
          <w:sz w:val="24"/>
          <w:szCs w:val="24"/>
        </w:rPr>
        <w:t xml:space="preserve"> prowadzone jest w języku polskim.</w:t>
      </w:r>
    </w:p>
    <w:p w14:paraId="72A7B981" w14:textId="2174A9CD" w:rsidR="00BC1420" w:rsidRPr="00984D21" w:rsidRDefault="00BC1420" w:rsidP="00BC14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 xml:space="preserve">Komunikacja między </w:t>
      </w:r>
      <w:r w:rsidR="00984D21">
        <w:rPr>
          <w:rFonts w:ascii="Times New Roman" w:hAnsi="Times New Roman" w:cs="Times New Roman"/>
          <w:snapToGrid w:val="0"/>
          <w:sz w:val="24"/>
          <w:szCs w:val="24"/>
        </w:rPr>
        <w:t>zamawiającym a dost</w:t>
      </w:r>
      <w:r w:rsidRPr="00984D21">
        <w:rPr>
          <w:rFonts w:ascii="Times New Roman" w:hAnsi="Times New Roman" w:cs="Times New Roman"/>
          <w:snapToGrid w:val="0"/>
          <w:sz w:val="24"/>
          <w:szCs w:val="24"/>
        </w:rPr>
        <w:t>awcami odbywa się wyłącznie przy użyciu środków komunikacji elektronicznej, za pośrednictwem elektronicznej platformy zakupowej (dalej: „Platforma”) pod adresem:</w:t>
      </w:r>
      <w:r w:rsidRPr="00984D21" w:rsidDel="005318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hyperlink r:id="rId6" w:history="1">
        <w:r w:rsidR="007F064C" w:rsidRPr="00984D21">
          <w:rPr>
            <w:rStyle w:val="Hipercze"/>
            <w:rFonts w:ascii="Times New Roman" w:hAnsi="Times New Roman"/>
            <w:sz w:val="24"/>
            <w:szCs w:val="24"/>
          </w:rPr>
          <w:t>https://zmsp.eb2b.com.pl/</w:t>
        </w:r>
      </w:hyperlink>
      <w:r w:rsidR="007F064C" w:rsidRPr="00984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48D5D" w14:textId="6B0E0B3A" w:rsidR="00BC1420" w:rsidRPr="00984D21" w:rsidRDefault="00984D21" w:rsidP="00BC1420">
      <w:pPr>
        <w:pStyle w:val="Akapitzlist"/>
        <w:numPr>
          <w:ilvl w:val="0"/>
          <w:numId w:val="4"/>
        </w:numPr>
        <w:spacing w:after="120" w:line="264" w:lineRule="auto"/>
        <w:ind w:left="567" w:hanging="425"/>
        <w:contextualSpacing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Dost</w:t>
      </w:r>
      <w:r w:rsidR="00BC1420" w:rsidRPr="00984D21">
        <w:rPr>
          <w:snapToGrid w:val="0"/>
          <w:sz w:val="24"/>
          <w:szCs w:val="24"/>
        </w:rPr>
        <w:t xml:space="preserve">awca zamierzający wziąć udział w postępowaniu o udzielenie zamówienia publicznego, musi posiadać konto na Platformie Zakupowej. Zarejestrowanie </w:t>
      </w:r>
      <w:r w:rsidR="00BC1420" w:rsidRPr="00984D21">
        <w:rPr>
          <w:snapToGrid w:val="0"/>
          <w:sz w:val="24"/>
          <w:szCs w:val="24"/>
        </w:rPr>
        <w:br/>
        <w:t>i utrzymywanie konta na Platformie Zakupowej oraz korzystanie z Platformy jest bezpłatne.</w:t>
      </w:r>
    </w:p>
    <w:p w14:paraId="232FFA3C" w14:textId="7023DD31" w:rsidR="00BC1420" w:rsidRPr="00984D21" w:rsidRDefault="00BC1420" w:rsidP="00BC1420">
      <w:pPr>
        <w:pStyle w:val="Akapitzlist"/>
        <w:numPr>
          <w:ilvl w:val="0"/>
          <w:numId w:val="4"/>
        </w:numPr>
        <w:spacing w:after="120" w:line="264" w:lineRule="auto"/>
        <w:ind w:left="567" w:hanging="425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Wymagania techniczne i organizacyjne korzystania z Platformy Zakupowej określa Regulamin Platformy Zakupowej (dostępny pod adresem internetowym </w:t>
      </w:r>
      <w:hyperlink r:id="rId7" w:history="1">
        <w:r w:rsidR="007F064C" w:rsidRPr="00984D21">
          <w:rPr>
            <w:rStyle w:val="Hipercze"/>
            <w:snapToGrid w:val="0"/>
            <w:sz w:val="24"/>
            <w:szCs w:val="24"/>
          </w:rPr>
          <w:t>https://zmsp.eb2b.com.pl/user/terms</w:t>
        </w:r>
      </w:hyperlink>
      <w:r w:rsidRPr="00984D21">
        <w:rPr>
          <w:snapToGrid w:val="0"/>
          <w:sz w:val="24"/>
          <w:szCs w:val="24"/>
        </w:rPr>
        <w:t>.</w:t>
      </w:r>
      <w:r w:rsidR="00B869D8" w:rsidRPr="00984D21">
        <w:rPr>
          <w:snapToGrid w:val="0"/>
          <w:sz w:val="24"/>
          <w:szCs w:val="24"/>
        </w:rPr>
        <w:t xml:space="preserve"> </w:t>
      </w:r>
      <w:r w:rsidRPr="00984D21">
        <w:rPr>
          <w:snapToGrid w:val="0"/>
          <w:sz w:val="24"/>
          <w:szCs w:val="24"/>
        </w:rPr>
        <w:t>Wykonawca przystępując do postępowania o udzielenie zamówienia publicznego tj. bezpłatnie rejestrując się lub logując (w przypadku posiadania konta w Platformie Zakupowej), akceptuje warunki korzystania z Platformy, określone w Regulaminie oraz uznaje go za wiążący.</w:t>
      </w:r>
    </w:p>
    <w:p w14:paraId="029F9449" w14:textId="77777777" w:rsidR="00BC1420" w:rsidRPr="00984D21" w:rsidRDefault="00BC1420" w:rsidP="00BC1420">
      <w:pPr>
        <w:pStyle w:val="Akapitzlist"/>
        <w:numPr>
          <w:ilvl w:val="0"/>
          <w:numId w:val="4"/>
        </w:numPr>
        <w:spacing w:after="120" w:line="264" w:lineRule="auto"/>
        <w:ind w:left="567" w:hanging="425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Instrukcja korzystania z Platformy:</w:t>
      </w:r>
    </w:p>
    <w:p w14:paraId="3F0868BF" w14:textId="73032270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283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w zakładce „Postępowania”, dalej „Lista postępowań otwartych” wykonawca wybiera niniejsze postępowanie oraz korzystając z polecenia „Zgłoś się do udziału w postępowaniu” przechodzi odpowiednio do Formularza rejestracyjnego – w przypadku, kiedy wykonawca nie posiada konta na Platformie, lub panelu logowania użytkownika do Systemu w przypadku posiadania konta na Platformie;</w:t>
      </w:r>
    </w:p>
    <w:p w14:paraId="40A73205" w14:textId="2BED2026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283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po wypełnieniu formularza rejestracyjnego wykonawca otrzymuje wiadomość elektroniczną (e-mail) informującą, że może dokonać pierwszego logowania </w:t>
      </w:r>
      <w:r w:rsidRPr="00984D21">
        <w:rPr>
          <w:snapToGrid w:val="0"/>
          <w:sz w:val="24"/>
          <w:szCs w:val="24"/>
        </w:rPr>
        <w:br/>
        <w:t>do Platformy</w:t>
      </w:r>
      <w:r w:rsidR="00D12FC6" w:rsidRPr="00984D21">
        <w:rPr>
          <w:snapToGrid w:val="0"/>
          <w:sz w:val="24"/>
          <w:szCs w:val="24"/>
        </w:rPr>
        <w:t xml:space="preserve">. </w:t>
      </w:r>
      <w:r w:rsidR="000D79FC" w:rsidRPr="00984D21">
        <w:rPr>
          <w:snapToGrid w:val="0"/>
          <w:sz w:val="24"/>
          <w:szCs w:val="24"/>
        </w:rPr>
        <w:t>Rejestracja nowego konta podlega weryfikacji i akceptacji Operatora, która może potrwać do 24h (8h roboczych).</w:t>
      </w:r>
    </w:p>
    <w:p w14:paraId="6936B0FF" w14:textId="77777777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283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zgłoszenie do postępowania wymaga zalogowania Wykonawcy do Platformy. </w:t>
      </w:r>
      <w:r w:rsidRPr="00984D21">
        <w:rPr>
          <w:snapToGrid w:val="0"/>
          <w:sz w:val="24"/>
          <w:szCs w:val="24"/>
        </w:rPr>
        <w:br/>
        <w:t>Po wprowadzeniu danych użytkownika tj. adresu e-mail oraz hasła zgłoszenie jest automatycznie akceptowane przez Platformę;</w:t>
      </w:r>
    </w:p>
    <w:p w14:paraId="723115E7" w14:textId="18200722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283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w zakładce „Załączniki” przedmiotowego postępowania dostępna jest dokumentacja postępowania (SIWZ oraz pozostałe dokumenty). Pobranie dokumentu następuje po kliknięciu na wybrany załącznik i wciśnięciu polecenia „Pobierz”. W celu pobrania wszystkich załączników jednocześnie należy wybrać polecenie „Pobierz paczkę”, a następnie „Pobierz wszystkie załączniki organizatora”.</w:t>
      </w:r>
    </w:p>
    <w:p w14:paraId="60223501" w14:textId="77777777" w:rsidR="00BC1420" w:rsidRPr="00984D21" w:rsidRDefault="00BC1420" w:rsidP="00BC1420">
      <w:pPr>
        <w:pStyle w:val="Akapitzlist"/>
        <w:numPr>
          <w:ilvl w:val="0"/>
          <w:numId w:val="4"/>
        </w:numPr>
        <w:spacing w:after="120" w:line="264" w:lineRule="auto"/>
        <w:ind w:left="567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Niezbędne wymagania sprzętowo-aplikacyjne umożliwiające pracę na Platformie:</w:t>
      </w:r>
    </w:p>
    <w:p w14:paraId="1B584B65" w14:textId="2FAD30E5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141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stały dostęp do sieci Internet o gwarantowanej przepustowości nie mniejszej </w:t>
      </w:r>
      <w:r w:rsidRPr="00984D21">
        <w:rPr>
          <w:snapToGrid w:val="0"/>
          <w:sz w:val="24"/>
          <w:szCs w:val="24"/>
        </w:rPr>
        <w:br/>
      </w:r>
      <w:r w:rsidRPr="00984D21">
        <w:rPr>
          <w:snapToGrid w:val="0"/>
          <w:sz w:val="24"/>
          <w:szCs w:val="24"/>
        </w:rPr>
        <w:lastRenderedPageBreak/>
        <w:t xml:space="preserve">niż </w:t>
      </w:r>
      <w:r w:rsidR="00663E0E" w:rsidRPr="00984D21">
        <w:rPr>
          <w:snapToGrid w:val="0"/>
          <w:sz w:val="24"/>
          <w:szCs w:val="24"/>
        </w:rPr>
        <w:t>4</w:t>
      </w:r>
      <w:r w:rsidRPr="00984D21">
        <w:rPr>
          <w:snapToGrid w:val="0"/>
          <w:sz w:val="24"/>
          <w:szCs w:val="24"/>
        </w:rPr>
        <w:t xml:space="preserve"> </w:t>
      </w:r>
      <w:proofErr w:type="spellStart"/>
      <w:r w:rsidRPr="00984D21">
        <w:rPr>
          <w:snapToGrid w:val="0"/>
          <w:sz w:val="24"/>
          <w:szCs w:val="24"/>
        </w:rPr>
        <w:t>mb</w:t>
      </w:r>
      <w:proofErr w:type="spellEnd"/>
      <w:r w:rsidRPr="00984D21">
        <w:rPr>
          <w:snapToGrid w:val="0"/>
          <w:sz w:val="24"/>
          <w:szCs w:val="24"/>
        </w:rPr>
        <w:t>/s,</w:t>
      </w:r>
    </w:p>
    <w:p w14:paraId="255127FA" w14:textId="53F8B67E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141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komputer klasy PC lub </w:t>
      </w:r>
      <w:proofErr w:type="spellStart"/>
      <w:r w:rsidRPr="00984D21">
        <w:rPr>
          <w:snapToGrid w:val="0"/>
          <w:sz w:val="24"/>
          <w:szCs w:val="24"/>
        </w:rPr>
        <w:t>lub</w:t>
      </w:r>
      <w:proofErr w:type="spellEnd"/>
      <w:r w:rsidRPr="00984D21">
        <w:rPr>
          <w:snapToGrid w:val="0"/>
          <w:sz w:val="24"/>
          <w:szCs w:val="24"/>
        </w:rPr>
        <w:t xml:space="preserve"> Mac, o następującej konfiguracji: pamięć RAM min. </w:t>
      </w:r>
      <w:r w:rsidR="00C84863" w:rsidRPr="00984D21">
        <w:rPr>
          <w:snapToGrid w:val="0"/>
          <w:sz w:val="24"/>
          <w:szCs w:val="24"/>
        </w:rPr>
        <w:t>4</w:t>
      </w:r>
      <w:r w:rsidRPr="00984D21">
        <w:rPr>
          <w:snapToGrid w:val="0"/>
          <w:sz w:val="24"/>
          <w:szCs w:val="24"/>
        </w:rPr>
        <w:t xml:space="preserve"> GB, procesor Intel IV </w:t>
      </w:r>
      <w:r w:rsidR="00C84863" w:rsidRPr="00984D21">
        <w:rPr>
          <w:snapToGrid w:val="0"/>
          <w:sz w:val="24"/>
          <w:szCs w:val="24"/>
        </w:rPr>
        <w:t>2,</w:t>
      </w:r>
      <w:r w:rsidRPr="00984D21">
        <w:rPr>
          <w:snapToGrid w:val="0"/>
          <w:sz w:val="24"/>
          <w:szCs w:val="24"/>
        </w:rPr>
        <w:t>4GHz, jeden z systemów operacyjnych: MS Windows 7, Mac OS x 10.4, Linux, lub ich nowsze wersje,</w:t>
      </w:r>
    </w:p>
    <w:p w14:paraId="357763D5" w14:textId="5E9A74AC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141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zainstalowana dowolna najnowsza wersja przeglądarki internetowej; w przypadku Internet Explorer minimalnie wersja 11.0.</w:t>
      </w:r>
    </w:p>
    <w:p w14:paraId="403DBD31" w14:textId="77777777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141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włączona obsługa JavaScript,</w:t>
      </w:r>
    </w:p>
    <w:p w14:paraId="1B8FE056" w14:textId="77777777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1134" w:hanging="141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zainstalowany program obsługujący stosowane przez wykonawcę formaty plików (np. </w:t>
      </w:r>
      <w:proofErr w:type="spellStart"/>
      <w:r w:rsidRPr="00984D21">
        <w:rPr>
          <w:snapToGrid w:val="0"/>
          <w:sz w:val="24"/>
          <w:szCs w:val="24"/>
        </w:rPr>
        <w:t>Acrobat</w:t>
      </w:r>
      <w:proofErr w:type="spellEnd"/>
      <w:r w:rsidRPr="00984D21">
        <w:rPr>
          <w:snapToGrid w:val="0"/>
          <w:sz w:val="24"/>
          <w:szCs w:val="24"/>
        </w:rPr>
        <w:t xml:space="preserve"> Reader dla plików w formacie .pdf).</w:t>
      </w:r>
    </w:p>
    <w:p w14:paraId="799E0D6B" w14:textId="77777777" w:rsidR="00BC1420" w:rsidRPr="00984D21" w:rsidRDefault="00BC1420" w:rsidP="00BC14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>Wszelkie dokumenty, oświadczenia, informacje, o których mowa w SIWZ, należy wczytać jako załączniki na Platformie, według Instrukcji korzystania z Platformy, dostępnej dla zalogowanych użytkowników w zakładce „Pomoc” – „Instrukcje”.</w:t>
      </w:r>
    </w:p>
    <w:p w14:paraId="3F75BB55" w14:textId="77777777" w:rsidR="00BC1420" w:rsidRPr="00984D21" w:rsidRDefault="00BC1420" w:rsidP="00BC1420">
      <w:pPr>
        <w:widowControl w:val="0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 xml:space="preserve">Zamawiający zaleca wczytywanie na Platformę plików w maksymalnym rozmiarze </w:t>
      </w:r>
      <w:r w:rsidRPr="00984D21">
        <w:rPr>
          <w:rFonts w:ascii="Times New Roman" w:hAnsi="Times New Roman" w:cs="Times New Roman"/>
          <w:snapToGrid w:val="0"/>
          <w:sz w:val="24"/>
          <w:szCs w:val="24"/>
        </w:rPr>
        <w:br/>
        <w:t xml:space="preserve">do 50 MB. </w:t>
      </w:r>
    </w:p>
    <w:p w14:paraId="22A0704A" w14:textId="668921FE" w:rsidR="00BC1420" w:rsidRPr="00984D21" w:rsidRDefault="00BC1420" w:rsidP="00BC1420">
      <w:pPr>
        <w:widowControl w:val="0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 xml:space="preserve">Dokumenty elektroniczne, oświadczenia lub elektroniczne kopie dokumentów </w:t>
      </w:r>
      <w:r w:rsidRPr="00984D21">
        <w:rPr>
          <w:rFonts w:ascii="Times New Roman" w:hAnsi="Times New Roman" w:cs="Times New Roman"/>
          <w:snapToGrid w:val="0"/>
          <w:sz w:val="24"/>
          <w:szCs w:val="24"/>
        </w:rPr>
        <w:br/>
        <w:t>lub oświadczeń składające się na ofertę, składane są przez wykonawcę przy użyciu zakładki „Załączniki” w trakcie etapu składania ofert</w:t>
      </w:r>
      <w:r w:rsidR="000D79FC" w:rsidRPr="00984D21">
        <w:rPr>
          <w:rFonts w:ascii="Times New Roman" w:hAnsi="Times New Roman" w:cs="Times New Roman"/>
          <w:snapToGrid w:val="0"/>
          <w:sz w:val="24"/>
          <w:szCs w:val="24"/>
        </w:rPr>
        <w:t>/wniosków</w:t>
      </w:r>
      <w:r w:rsidRPr="00984D2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0009A82" w14:textId="77777777" w:rsidR="00BC1420" w:rsidRPr="00984D21" w:rsidRDefault="00BC1420" w:rsidP="00BC1420">
      <w:pPr>
        <w:widowControl w:val="0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>Dokumenty elektroniczne, oświadczenia, uzupełnienia, elektroniczne kopie dokumentów lub oświadczeń składane przez wykonawcę po złożeniu ofert (np. na wezwanie zamawiającego), składane są przy użyciu zakładki „Pytania/informacje”.</w:t>
      </w:r>
    </w:p>
    <w:p w14:paraId="3234159D" w14:textId="77777777" w:rsidR="00BC1420" w:rsidRPr="00984D21" w:rsidRDefault="00BC1420" w:rsidP="00BC1420">
      <w:pPr>
        <w:widowControl w:val="0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 xml:space="preserve">Ewentualne wnioski o wyjaśnienie treści SIWZ, wnioski o przeprowadzenie wizji </w:t>
      </w:r>
      <w:r w:rsidRPr="00984D21">
        <w:rPr>
          <w:rFonts w:ascii="Times New Roman" w:hAnsi="Times New Roman" w:cs="Times New Roman"/>
          <w:snapToGrid w:val="0"/>
          <w:sz w:val="24"/>
          <w:szCs w:val="24"/>
        </w:rPr>
        <w:br/>
        <w:t>lokalnej itp., także składane są przy użyciu zakładki „Pytania/informacje”.</w:t>
      </w:r>
    </w:p>
    <w:p w14:paraId="132DFE35" w14:textId="34F1E557" w:rsidR="00BC1420" w:rsidRPr="00984D21" w:rsidRDefault="00BC1420" w:rsidP="00BC1420">
      <w:pPr>
        <w:pStyle w:val="Akapitzlist"/>
        <w:numPr>
          <w:ilvl w:val="0"/>
          <w:numId w:val="4"/>
        </w:numPr>
        <w:spacing w:after="120" w:line="264" w:lineRule="auto"/>
        <w:ind w:left="567" w:hanging="425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Zamawiający dopuszcza przesyłanie plików w formatach </w:t>
      </w:r>
      <w:r w:rsidRPr="00984D21">
        <w:rPr>
          <w:sz w:val="24"/>
          <w:szCs w:val="24"/>
        </w:rPr>
        <w:t xml:space="preserve">danych określonych </w:t>
      </w:r>
      <w:r w:rsidRPr="00984D21">
        <w:rPr>
          <w:sz w:val="24"/>
          <w:szCs w:val="24"/>
        </w:rPr>
        <w:br/>
        <w:t xml:space="preserve">w przepisach </w:t>
      </w:r>
      <w:bookmarkStart w:id="1" w:name="_Hlk3213475"/>
      <w:r w:rsidRPr="00984D21">
        <w:rPr>
          <w:sz w:val="24"/>
          <w:szCs w:val="24"/>
        </w:rPr>
        <w:t xml:space="preserve">wydanych na podstawie art. 18 ustawy z dnia 17 lutego 2005 r. </w:t>
      </w:r>
      <w:r w:rsidRPr="00984D21">
        <w:rPr>
          <w:sz w:val="24"/>
          <w:szCs w:val="24"/>
        </w:rPr>
        <w:br/>
        <w:t>o informatyzacji działalności podmiotów realizujących zadania publiczne (</w:t>
      </w:r>
      <w:proofErr w:type="spellStart"/>
      <w:r w:rsidRPr="00984D21">
        <w:rPr>
          <w:sz w:val="24"/>
          <w:szCs w:val="24"/>
        </w:rPr>
        <w:t>t.j</w:t>
      </w:r>
      <w:proofErr w:type="spellEnd"/>
      <w:r w:rsidRPr="00984D21">
        <w:rPr>
          <w:sz w:val="24"/>
          <w:szCs w:val="24"/>
        </w:rPr>
        <w:t xml:space="preserve">. Dz. U. z 2017 r. poz. 570 z </w:t>
      </w:r>
      <w:proofErr w:type="spellStart"/>
      <w:r w:rsidRPr="00984D21">
        <w:rPr>
          <w:sz w:val="24"/>
          <w:szCs w:val="24"/>
        </w:rPr>
        <w:t>późn</w:t>
      </w:r>
      <w:proofErr w:type="spellEnd"/>
      <w:r w:rsidRPr="00984D21">
        <w:rPr>
          <w:sz w:val="24"/>
          <w:szCs w:val="24"/>
        </w:rPr>
        <w:t>. zm.), tj.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984D21">
        <w:rPr>
          <w:sz w:val="24"/>
          <w:szCs w:val="24"/>
        </w:rPr>
        <w:t>t.j</w:t>
      </w:r>
      <w:proofErr w:type="spellEnd"/>
      <w:r w:rsidRPr="00984D21">
        <w:rPr>
          <w:sz w:val="24"/>
          <w:szCs w:val="24"/>
        </w:rPr>
        <w:t>. Dz. U. z 2017 r. poz. 2247)</w:t>
      </w:r>
      <w:bookmarkEnd w:id="1"/>
      <w:r w:rsidRPr="00984D21">
        <w:rPr>
          <w:sz w:val="24"/>
          <w:szCs w:val="24"/>
        </w:rPr>
        <w:t xml:space="preserve"> – w szczególności w formatach: .pdf, .</w:t>
      </w:r>
      <w:proofErr w:type="spellStart"/>
      <w:r w:rsidRPr="00984D21">
        <w:rPr>
          <w:sz w:val="24"/>
          <w:szCs w:val="24"/>
        </w:rPr>
        <w:t>doc</w:t>
      </w:r>
      <w:proofErr w:type="spellEnd"/>
      <w:r w:rsidRPr="00984D21">
        <w:rPr>
          <w:sz w:val="24"/>
          <w:szCs w:val="24"/>
        </w:rPr>
        <w:t>, .</w:t>
      </w:r>
      <w:proofErr w:type="spellStart"/>
      <w:r w:rsidRPr="00984D21">
        <w:rPr>
          <w:sz w:val="24"/>
          <w:szCs w:val="24"/>
        </w:rPr>
        <w:t>docx</w:t>
      </w:r>
      <w:proofErr w:type="spellEnd"/>
      <w:r w:rsidRPr="00984D21">
        <w:rPr>
          <w:sz w:val="24"/>
          <w:szCs w:val="24"/>
        </w:rPr>
        <w:t>, .rtf lub .</w:t>
      </w:r>
      <w:proofErr w:type="spellStart"/>
      <w:r w:rsidRPr="00984D21">
        <w:rPr>
          <w:sz w:val="24"/>
          <w:szCs w:val="24"/>
        </w:rPr>
        <w:t>odt</w:t>
      </w:r>
      <w:proofErr w:type="spellEnd"/>
      <w:r w:rsidRPr="00984D21">
        <w:rPr>
          <w:sz w:val="24"/>
          <w:szCs w:val="24"/>
        </w:rPr>
        <w:t>.</w:t>
      </w:r>
      <w:r w:rsidR="005F708F" w:rsidRPr="00984D21">
        <w:rPr>
          <w:sz w:val="24"/>
          <w:szCs w:val="24"/>
        </w:rPr>
        <w:t xml:space="preserve">, </w:t>
      </w:r>
      <w:proofErr w:type="spellStart"/>
      <w:r w:rsidR="005F708F" w:rsidRPr="00984D21">
        <w:rPr>
          <w:sz w:val="24"/>
          <w:szCs w:val="24"/>
        </w:rPr>
        <w:t>xades</w:t>
      </w:r>
      <w:proofErr w:type="spellEnd"/>
      <w:r w:rsidR="005F708F" w:rsidRPr="00984D21">
        <w:rPr>
          <w:sz w:val="24"/>
          <w:szCs w:val="24"/>
        </w:rPr>
        <w:t>.</w:t>
      </w:r>
    </w:p>
    <w:p w14:paraId="667DF42B" w14:textId="77777777" w:rsidR="00BC1420" w:rsidRPr="00984D21" w:rsidRDefault="00BC1420" w:rsidP="00BC1420">
      <w:pPr>
        <w:pStyle w:val="Akapitzlist"/>
        <w:spacing w:after="120" w:line="264" w:lineRule="auto"/>
        <w:ind w:left="567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Zamawiający zaleca przesyłanie plików w formacie .pdf.</w:t>
      </w:r>
    </w:p>
    <w:p w14:paraId="090D0950" w14:textId="77777777" w:rsidR="00BC1420" w:rsidRPr="00984D21" w:rsidRDefault="00BC1420" w:rsidP="00BC1420">
      <w:pPr>
        <w:pStyle w:val="Akapitzlist"/>
        <w:numPr>
          <w:ilvl w:val="0"/>
          <w:numId w:val="4"/>
        </w:numPr>
        <w:spacing w:after="120" w:line="264" w:lineRule="auto"/>
        <w:ind w:left="567" w:hanging="425"/>
        <w:jc w:val="both"/>
        <w:rPr>
          <w:snapToGrid w:val="0"/>
          <w:sz w:val="24"/>
          <w:szCs w:val="24"/>
        </w:rPr>
      </w:pPr>
      <w:bookmarkStart w:id="2" w:name="_Hlk3217249"/>
      <w:r w:rsidRPr="00984D21">
        <w:rPr>
          <w:snapToGrid w:val="0"/>
          <w:sz w:val="24"/>
          <w:szCs w:val="24"/>
        </w:rPr>
        <w:t>Zalecenia zamawiającego odnośnie kwalifikowanego podpisu elektronicznego:</w:t>
      </w:r>
    </w:p>
    <w:p w14:paraId="542B06EC" w14:textId="77777777" w:rsidR="00BC1420" w:rsidRPr="00984D21" w:rsidRDefault="00BC1420" w:rsidP="00BC1420">
      <w:pPr>
        <w:pStyle w:val="Akapitzlist"/>
        <w:numPr>
          <w:ilvl w:val="2"/>
          <w:numId w:val="2"/>
        </w:numPr>
        <w:spacing w:after="120" w:line="264" w:lineRule="auto"/>
        <w:ind w:left="993" w:hanging="426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dla dokumentów w formacie .pdf zaleca się zastosowanie podpisu w formacie </w:t>
      </w:r>
      <w:proofErr w:type="spellStart"/>
      <w:r w:rsidRPr="00984D21">
        <w:rPr>
          <w:snapToGrid w:val="0"/>
          <w:sz w:val="24"/>
          <w:szCs w:val="24"/>
        </w:rPr>
        <w:t>PAdES</w:t>
      </w:r>
      <w:proofErr w:type="spellEnd"/>
      <w:r w:rsidRPr="00984D21">
        <w:rPr>
          <w:snapToGrid w:val="0"/>
          <w:sz w:val="24"/>
          <w:szCs w:val="24"/>
        </w:rPr>
        <w:t>,</w:t>
      </w:r>
    </w:p>
    <w:p w14:paraId="11B562CE" w14:textId="77777777" w:rsidR="00BC1420" w:rsidRPr="00984D21" w:rsidRDefault="00BC1420" w:rsidP="00BC1420">
      <w:pPr>
        <w:pStyle w:val="Akapitzlist"/>
        <w:numPr>
          <w:ilvl w:val="2"/>
          <w:numId w:val="2"/>
        </w:numPr>
        <w:spacing w:after="120" w:line="264" w:lineRule="auto"/>
        <w:ind w:left="992" w:hanging="425"/>
        <w:contextualSpacing w:val="0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dla dokumentów w formacie innym niż .pdf zaleca się zastosowanie podpisu wewnętrznego w formacie </w:t>
      </w:r>
      <w:proofErr w:type="spellStart"/>
      <w:r w:rsidRPr="00984D21">
        <w:rPr>
          <w:snapToGrid w:val="0"/>
          <w:sz w:val="24"/>
          <w:szCs w:val="24"/>
        </w:rPr>
        <w:t>XAdES</w:t>
      </w:r>
      <w:proofErr w:type="spellEnd"/>
      <w:r w:rsidRPr="00984D21">
        <w:rPr>
          <w:snapToGrid w:val="0"/>
          <w:sz w:val="24"/>
          <w:szCs w:val="24"/>
        </w:rPr>
        <w:t>.</w:t>
      </w:r>
    </w:p>
    <w:bookmarkEnd w:id="2"/>
    <w:p w14:paraId="769C2EDB" w14:textId="77777777" w:rsidR="00BC1420" w:rsidRPr="00984D21" w:rsidRDefault="00BC1420" w:rsidP="00BC14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>Za datę wpływu oświadczeń, wniosków, zawiadomień oraz informacji przyjmuje się datę ich wczytania do Platformy.</w:t>
      </w:r>
    </w:p>
    <w:p w14:paraId="60BE8656" w14:textId="77777777" w:rsidR="00BC1420" w:rsidRPr="00984D21" w:rsidRDefault="00BC1420" w:rsidP="00BC1420">
      <w:pPr>
        <w:pStyle w:val="Akapitzlist"/>
        <w:numPr>
          <w:ilvl w:val="0"/>
          <w:numId w:val="4"/>
        </w:numPr>
        <w:tabs>
          <w:tab w:val="left" w:pos="567"/>
        </w:tabs>
        <w:ind w:left="567" w:hanging="425"/>
        <w:jc w:val="both"/>
        <w:rPr>
          <w:snapToGrid w:val="0"/>
          <w:sz w:val="24"/>
          <w:szCs w:val="24"/>
        </w:rPr>
      </w:pPr>
      <w:bookmarkStart w:id="3" w:name="_Hlk3283982"/>
      <w:r w:rsidRPr="00984D21">
        <w:rPr>
          <w:snapToGrid w:val="0"/>
          <w:sz w:val="24"/>
          <w:szCs w:val="24"/>
        </w:rPr>
        <w:t>Informacja na temat specyfikacji połączenia, formatu przesyłanych danych oraz kodowania i oznaczania czasu odbioru danych:</w:t>
      </w:r>
    </w:p>
    <w:p w14:paraId="083477F9" w14:textId="7FA7F49A" w:rsidR="00BC1420" w:rsidRPr="00984D21" w:rsidRDefault="00BC1420" w:rsidP="00BC1420">
      <w:pPr>
        <w:pStyle w:val="Akapitzlist"/>
        <w:numPr>
          <w:ilvl w:val="2"/>
          <w:numId w:val="4"/>
        </w:numPr>
        <w:tabs>
          <w:tab w:val="left" w:pos="993"/>
        </w:tabs>
        <w:spacing w:after="120" w:line="264" w:lineRule="auto"/>
        <w:ind w:left="851" w:hanging="142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szyfrowanie za pomocą protokołu TLS;</w:t>
      </w:r>
    </w:p>
    <w:p w14:paraId="5FEB400E" w14:textId="77777777" w:rsidR="00BC1420" w:rsidRPr="00984D21" w:rsidRDefault="00BC1420" w:rsidP="00BC1420">
      <w:pPr>
        <w:pStyle w:val="Akapitzlist"/>
        <w:numPr>
          <w:ilvl w:val="2"/>
          <w:numId w:val="4"/>
        </w:numPr>
        <w:tabs>
          <w:tab w:val="left" w:pos="993"/>
        </w:tabs>
        <w:spacing w:after="120" w:line="264" w:lineRule="auto"/>
        <w:ind w:left="851" w:hanging="142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formularze dostępne są w formacie HTML z kodowaniem UTF-8;</w:t>
      </w:r>
    </w:p>
    <w:p w14:paraId="5F05468E" w14:textId="77777777" w:rsidR="00BC1420" w:rsidRPr="00984D21" w:rsidRDefault="00BC1420" w:rsidP="00BC1420">
      <w:pPr>
        <w:pStyle w:val="Akapitzlist"/>
        <w:numPr>
          <w:ilvl w:val="2"/>
          <w:numId w:val="4"/>
        </w:numPr>
        <w:tabs>
          <w:tab w:val="left" w:pos="993"/>
        </w:tabs>
        <w:spacing w:after="120" w:line="264" w:lineRule="auto"/>
        <w:ind w:left="851" w:hanging="142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lastRenderedPageBreak/>
        <w:t xml:space="preserve">wszelkie operacje opierają się o czas serwera i dane zapisywane są z dokładnością </w:t>
      </w:r>
      <w:r w:rsidRPr="00984D21">
        <w:rPr>
          <w:snapToGrid w:val="0"/>
          <w:sz w:val="24"/>
          <w:szCs w:val="24"/>
        </w:rPr>
        <w:br/>
        <w:t>co do setnej części sekundy;</w:t>
      </w:r>
    </w:p>
    <w:p w14:paraId="68709DE2" w14:textId="77777777" w:rsidR="00BC1420" w:rsidRPr="00984D21" w:rsidRDefault="00BC1420" w:rsidP="00BC1420">
      <w:pPr>
        <w:pStyle w:val="Akapitzlist"/>
        <w:numPr>
          <w:ilvl w:val="2"/>
          <w:numId w:val="4"/>
        </w:numPr>
        <w:tabs>
          <w:tab w:val="left" w:pos="993"/>
        </w:tabs>
        <w:spacing w:after="120" w:line="264" w:lineRule="auto"/>
        <w:ind w:left="851" w:hanging="142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 xml:space="preserve">pliki oferty wczytane przez wykonawcę na Platformę i zapisane, widoczne są </w:t>
      </w:r>
      <w:r w:rsidRPr="00984D21">
        <w:rPr>
          <w:snapToGrid w:val="0"/>
          <w:sz w:val="24"/>
          <w:szCs w:val="24"/>
        </w:rPr>
        <w:br/>
        <w:t xml:space="preserve">w Platformie jako zaszyfrowane, możliwość otwarcia plików dostępna jest dopiero </w:t>
      </w:r>
      <w:r w:rsidRPr="00984D21">
        <w:rPr>
          <w:snapToGrid w:val="0"/>
          <w:sz w:val="24"/>
          <w:szCs w:val="24"/>
        </w:rPr>
        <w:br/>
        <w:t>po odszyfrowaniu przez zamawiającego po upływie terminu otwarcia ofert;</w:t>
      </w:r>
    </w:p>
    <w:p w14:paraId="4365E14F" w14:textId="77777777" w:rsidR="00BC1420" w:rsidRPr="00984D21" w:rsidRDefault="00BC1420" w:rsidP="00BC1420">
      <w:pPr>
        <w:pStyle w:val="Akapitzlist"/>
        <w:numPr>
          <w:ilvl w:val="2"/>
          <w:numId w:val="4"/>
        </w:numPr>
        <w:tabs>
          <w:tab w:val="left" w:pos="993"/>
        </w:tabs>
        <w:spacing w:after="120" w:line="264" w:lineRule="auto"/>
        <w:ind w:left="851" w:hanging="142"/>
        <w:jc w:val="both"/>
        <w:rPr>
          <w:snapToGrid w:val="0"/>
          <w:sz w:val="24"/>
          <w:szCs w:val="24"/>
        </w:rPr>
      </w:pPr>
      <w:r w:rsidRPr="00984D21">
        <w:rPr>
          <w:snapToGrid w:val="0"/>
          <w:sz w:val="24"/>
          <w:szCs w:val="24"/>
        </w:rPr>
        <w:t>oznaczenie czasu odbioru danych przez Platformę stanowi przypiętą do dokumentu elektronicznego datę oraz dokładny czas (</w:t>
      </w:r>
      <w:proofErr w:type="spellStart"/>
      <w:r w:rsidRPr="00984D21">
        <w:rPr>
          <w:snapToGrid w:val="0"/>
          <w:sz w:val="24"/>
          <w:szCs w:val="24"/>
        </w:rPr>
        <w:t>hh:mm:ss</w:t>
      </w:r>
      <w:proofErr w:type="spellEnd"/>
      <w:r w:rsidRPr="00984D21">
        <w:rPr>
          <w:snapToGrid w:val="0"/>
          <w:sz w:val="24"/>
          <w:szCs w:val="24"/>
        </w:rPr>
        <w:t>), znajdującą się po lewej stronie dokumentu w kolumnie „Data przesłania”.</w:t>
      </w:r>
    </w:p>
    <w:bookmarkEnd w:id="3"/>
    <w:p w14:paraId="3681775B" w14:textId="77777777" w:rsidR="00BC1420" w:rsidRPr="00984D21" w:rsidRDefault="00BC1420" w:rsidP="00BC14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567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>Osobami uprawnionymi do porozumiewania się z wykonawcami są:</w:t>
      </w:r>
    </w:p>
    <w:p w14:paraId="37B6BF2D" w14:textId="77777777" w:rsidR="002D3E50" w:rsidRPr="002D3E50" w:rsidRDefault="002D3E50" w:rsidP="002D3E50">
      <w:pPr>
        <w:pStyle w:val="Akapitzlist"/>
        <w:jc w:val="both"/>
        <w:rPr>
          <w:sz w:val="24"/>
          <w:szCs w:val="24"/>
        </w:rPr>
      </w:pPr>
      <w:r w:rsidRPr="002D3E50">
        <w:rPr>
          <w:sz w:val="24"/>
          <w:szCs w:val="24"/>
        </w:rPr>
        <w:t>1) w zakresie dotyczącym przedmiotu zamówienia:</w:t>
      </w:r>
    </w:p>
    <w:p w14:paraId="78D0E634" w14:textId="77777777" w:rsidR="002D3E50" w:rsidRPr="002D3E50" w:rsidRDefault="002D3E50" w:rsidP="002D3E50">
      <w:pPr>
        <w:pStyle w:val="Akapitzlist"/>
        <w:jc w:val="both"/>
        <w:rPr>
          <w:sz w:val="24"/>
          <w:szCs w:val="24"/>
        </w:rPr>
      </w:pPr>
      <w:r w:rsidRPr="002D3E50">
        <w:rPr>
          <w:sz w:val="24"/>
          <w:szCs w:val="24"/>
        </w:rPr>
        <w:t xml:space="preserve">imię nazwisko: Paweł NAUMAN tel. (22) 551-21-36 </w:t>
      </w:r>
    </w:p>
    <w:p w14:paraId="011C5653" w14:textId="77777777" w:rsidR="002D3E50" w:rsidRPr="002D3E50" w:rsidRDefault="002D3E50" w:rsidP="002D3E50">
      <w:pPr>
        <w:pStyle w:val="Akapitzlist"/>
        <w:jc w:val="both"/>
        <w:rPr>
          <w:sz w:val="24"/>
          <w:szCs w:val="24"/>
        </w:rPr>
      </w:pPr>
      <w:r w:rsidRPr="002D3E50">
        <w:rPr>
          <w:sz w:val="24"/>
          <w:szCs w:val="24"/>
        </w:rPr>
        <w:t>oraz Iwona SOBIECKA tel. (22) 551-21-38</w:t>
      </w:r>
    </w:p>
    <w:p w14:paraId="37286454" w14:textId="77777777" w:rsidR="002D3E50" w:rsidRPr="002D3E50" w:rsidRDefault="002D3E50" w:rsidP="002D3E50">
      <w:pPr>
        <w:pStyle w:val="Akapitzlist"/>
        <w:jc w:val="both"/>
        <w:rPr>
          <w:color w:val="FF0000"/>
          <w:sz w:val="24"/>
          <w:szCs w:val="24"/>
        </w:rPr>
      </w:pPr>
    </w:p>
    <w:p w14:paraId="239DAA82" w14:textId="77777777" w:rsidR="002D3E50" w:rsidRPr="002D3E50" w:rsidRDefault="002D3E50" w:rsidP="002D3E50">
      <w:pPr>
        <w:pStyle w:val="Akapitzlist"/>
        <w:jc w:val="both"/>
        <w:rPr>
          <w:sz w:val="24"/>
          <w:szCs w:val="24"/>
        </w:rPr>
      </w:pPr>
      <w:r w:rsidRPr="002D3E50">
        <w:rPr>
          <w:sz w:val="24"/>
          <w:szCs w:val="24"/>
        </w:rPr>
        <w:t>2) w zakresie dotyczącym zagadnień formalno-prawnych:</w:t>
      </w:r>
    </w:p>
    <w:p w14:paraId="72A300CF" w14:textId="77777777" w:rsidR="002D3E50" w:rsidRPr="002D3E50" w:rsidRDefault="002D3E50" w:rsidP="002D3E50">
      <w:pPr>
        <w:pStyle w:val="Akapitzlist"/>
        <w:jc w:val="both"/>
        <w:rPr>
          <w:sz w:val="24"/>
          <w:szCs w:val="24"/>
        </w:rPr>
      </w:pPr>
      <w:r w:rsidRPr="002D3E50">
        <w:rPr>
          <w:sz w:val="24"/>
          <w:szCs w:val="24"/>
        </w:rPr>
        <w:t>imię i nazwisko: Zbigniew MAŁKOWSKI tel. (22) 551-21-80</w:t>
      </w:r>
    </w:p>
    <w:p w14:paraId="7262FF41" w14:textId="77777777" w:rsidR="002D3E50" w:rsidRPr="002D3E50" w:rsidRDefault="002D3E50" w:rsidP="002D3E50">
      <w:pPr>
        <w:pStyle w:val="Akapitzlist"/>
        <w:jc w:val="both"/>
        <w:rPr>
          <w:sz w:val="24"/>
          <w:szCs w:val="24"/>
        </w:rPr>
      </w:pPr>
      <w:r w:rsidRPr="002D3E50">
        <w:rPr>
          <w:sz w:val="24"/>
          <w:szCs w:val="24"/>
        </w:rPr>
        <w:t xml:space="preserve">oraz </w:t>
      </w:r>
    </w:p>
    <w:p w14:paraId="5AE75CC5" w14:textId="77777777" w:rsidR="002D3E50" w:rsidRPr="002D3E50" w:rsidRDefault="002D3E50" w:rsidP="002D3E50">
      <w:pPr>
        <w:pStyle w:val="Akapitzlist"/>
        <w:jc w:val="both"/>
        <w:rPr>
          <w:sz w:val="24"/>
          <w:szCs w:val="24"/>
        </w:rPr>
      </w:pPr>
      <w:r w:rsidRPr="002D3E50">
        <w:rPr>
          <w:sz w:val="24"/>
          <w:szCs w:val="24"/>
        </w:rPr>
        <w:t>Paweł PIEKUT (22) 551-21-82</w:t>
      </w:r>
    </w:p>
    <w:p w14:paraId="18D570C8" w14:textId="25E6979C" w:rsidR="000D6BCA" w:rsidRPr="002D3E50" w:rsidRDefault="000D6BCA">
      <w:pPr>
        <w:rPr>
          <w:rFonts w:ascii="Times New Roman" w:hAnsi="Times New Roman" w:cs="Times New Roman"/>
          <w:sz w:val="24"/>
          <w:szCs w:val="24"/>
        </w:rPr>
      </w:pPr>
    </w:p>
    <w:p w14:paraId="7FC09C05" w14:textId="77777777" w:rsidR="00122491" w:rsidRPr="00984D21" w:rsidRDefault="00122491" w:rsidP="00122491">
      <w:pPr>
        <w:pStyle w:val="Akapitzlist"/>
        <w:numPr>
          <w:ilvl w:val="0"/>
          <w:numId w:val="1"/>
        </w:numPr>
        <w:tabs>
          <w:tab w:val="left" w:pos="567"/>
        </w:tabs>
        <w:spacing w:after="120" w:line="264" w:lineRule="auto"/>
        <w:ind w:left="425" w:hanging="425"/>
        <w:contextualSpacing w:val="0"/>
        <w:jc w:val="both"/>
        <w:rPr>
          <w:b/>
          <w:snapToGrid w:val="0"/>
          <w:sz w:val="24"/>
          <w:szCs w:val="24"/>
        </w:rPr>
      </w:pPr>
      <w:r w:rsidRPr="00984D21">
        <w:rPr>
          <w:b/>
          <w:bCs/>
          <w:sz w:val="24"/>
          <w:szCs w:val="24"/>
        </w:rPr>
        <w:t>Op</w:t>
      </w:r>
      <w:r w:rsidRPr="00984D21">
        <w:rPr>
          <w:b/>
          <w:snapToGrid w:val="0"/>
          <w:sz w:val="24"/>
          <w:szCs w:val="24"/>
        </w:rPr>
        <w:t>i</w:t>
      </w:r>
      <w:r w:rsidRPr="00984D21">
        <w:rPr>
          <w:b/>
          <w:bCs/>
          <w:sz w:val="24"/>
          <w:szCs w:val="24"/>
        </w:rPr>
        <w:t>s</w:t>
      </w:r>
      <w:r w:rsidRPr="00984D21">
        <w:rPr>
          <w:b/>
          <w:snapToGrid w:val="0"/>
          <w:sz w:val="24"/>
          <w:szCs w:val="24"/>
        </w:rPr>
        <w:t xml:space="preserve"> sposobu przygotowywania ofert.</w:t>
      </w:r>
    </w:p>
    <w:p w14:paraId="13912BEA" w14:textId="77777777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Wykonawca może złożyć jedną ofertę.</w:t>
      </w:r>
    </w:p>
    <w:p w14:paraId="434E5998" w14:textId="77777777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Ofertę sporządza się w języku polskim, pod rygorem nieważności, w postaci elektronicznej i opatruje się kwalifikowanym podpisem elektronicznym.</w:t>
      </w:r>
    </w:p>
    <w:p w14:paraId="2FCFEECB" w14:textId="77777777" w:rsidR="00BC1420" w:rsidRPr="00984D21" w:rsidRDefault="00BC1420" w:rsidP="00BC1420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Zamawiający zaleca:</w:t>
      </w:r>
    </w:p>
    <w:p w14:paraId="57089BAA" w14:textId="77777777" w:rsidR="00BC1420" w:rsidRPr="00984D21" w:rsidRDefault="00BC1420" w:rsidP="00BC1420">
      <w:pPr>
        <w:pStyle w:val="Akapitzlist"/>
        <w:numPr>
          <w:ilvl w:val="2"/>
          <w:numId w:val="4"/>
        </w:numPr>
        <w:spacing w:line="264" w:lineRule="auto"/>
        <w:ind w:left="993" w:hanging="284"/>
        <w:jc w:val="both"/>
        <w:rPr>
          <w:sz w:val="24"/>
          <w:szCs w:val="24"/>
        </w:rPr>
      </w:pPr>
      <w:r w:rsidRPr="00984D21">
        <w:rPr>
          <w:sz w:val="24"/>
          <w:szCs w:val="24"/>
        </w:rPr>
        <w:t xml:space="preserve">zastosowanie podpisu w formacie </w:t>
      </w:r>
      <w:proofErr w:type="spellStart"/>
      <w:r w:rsidRPr="00984D21">
        <w:rPr>
          <w:sz w:val="24"/>
          <w:szCs w:val="24"/>
        </w:rPr>
        <w:t>PAdES</w:t>
      </w:r>
      <w:proofErr w:type="spellEnd"/>
      <w:r w:rsidRPr="00984D21">
        <w:rPr>
          <w:sz w:val="24"/>
          <w:szCs w:val="24"/>
        </w:rPr>
        <w:t xml:space="preserve"> dla dokumentów w formacie .pdf,</w:t>
      </w:r>
    </w:p>
    <w:p w14:paraId="0048B243" w14:textId="77777777" w:rsidR="00BC1420" w:rsidRPr="00984D21" w:rsidRDefault="00BC1420" w:rsidP="00BC1420">
      <w:pPr>
        <w:pStyle w:val="Akapitzlist"/>
        <w:numPr>
          <w:ilvl w:val="2"/>
          <w:numId w:val="4"/>
        </w:numPr>
        <w:spacing w:after="120" w:line="264" w:lineRule="auto"/>
        <w:ind w:left="993" w:hanging="284"/>
        <w:jc w:val="both"/>
        <w:rPr>
          <w:sz w:val="24"/>
          <w:szCs w:val="24"/>
        </w:rPr>
      </w:pPr>
      <w:r w:rsidRPr="00984D21">
        <w:rPr>
          <w:sz w:val="24"/>
          <w:szCs w:val="24"/>
        </w:rPr>
        <w:t xml:space="preserve">zastosowanie podpisu wewnętrznego w formacie </w:t>
      </w:r>
      <w:proofErr w:type="spellStart"/>
      <w:r w:rsidRPr="00984D21">
        <w:rPr>
          <w:sz w:val="24"/>
          <w:szCs w:val="24"/>
        </w:rPr>
        <w:t>XAdES</w:t>
      </w:r>
      <w:proofErr w:type="spellEnd"/>
      <w:r w:rsidRPr="00984D21">
        <w:rPr>
          <w:sz w:val="24"/>
          <w:szCs w:val="24"/>
        </w:rPr>
        <w:t xml:space="preserve"> dla dokumentów w formacie innym niż .pdf.</w:t>
      </w:r>
    </w:p>
    <w:p w14:paraId="7FEB5E39" w14:textId="1FAD9C69" w:rsidR="00BC1420" w:rsidRPr="00984D21" w:rsidRDefault="00BC1420" w:rsidP="00BC1420">
      <w:pPr>
        <w:spacing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Ofertę oraz wszystkie towarzyszące jej oświadczenia oraz dokumenty sporządza się </w:t>
      </w:r>
      <w:r w:rsidRPr="00984D21">
        <w:rPr>
          <w:rFonts w:ascii="Times New Roman" w:hAnsi="Times New Roman" w:cs="Times New Roman"/>
          <w:sz w:val="24"/>
          <w:szCs w:val="24"/>
        </w:rPr>
        <w:br/>
        <w:t xml:space="preserve">z zachowaniem postaci elektronicznej w jednym z formatów danych określonych </w:t>
      </w:r>
      <w:r w:rsidRPr="00984D21">
        <w:rPr>
          <w:rFonts w:ascii="Times New Roman" w:hAnsi="Times New Roman" w:cs="Times New Roman"/>
          <w:sz w:val="24"/>
          <w:szCs w:val="24"/>
        </w:rPr>
        <w:br/>
        <w:t xml:space="preserve">w przepisach wydanych na podstawie art. 18 ustawy z dnia 17 lutego 2005 r. </w:t>
      </w:r>
      <w:r w:rsidRPr="00984D21">
        <w:rPr>
          <w:rFonts w:ascii="Times New Roman" w:hAnsi="Times New Roman" w:cs="Times New Roman"/>
          <w:sz w:val="24"/>
          <w:szCs w:val="24"/>
        </w:rPr>
        <w:br/>
        <w:t>o informatyzacji działalności podmiotów realizujących zadania publiczne (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84D21">
        <w:rPr>
          <w:rFonts w:ascii="Times New Roman" w:hAnsi="Times New Roman" w:cs="Times New Roman"/>
          <w:sz w:val="24"/>
          <w:szCs w:val="24"/>
        </w:rPr>
        <w:t>. Dz. U. z 201</w:t>
      </w:r>
      <w:r w:rsidR="002E3044" w:rsidRPr="00984D21">
        <w:rPr>
          <w:rFonts w:ascii="Times New Roman" w:hAnsi="Times New Roman" w:cs="Times New Roman"/>
          <w:sz w:val="24"/>
          <w:szCs w:val="24"/>
        </w:rPr>
        <w:t>9</w:t>
      </w:r>
      <w:r w:rsidRPr="00984D21">
        <w:rPr>
          <w:rFonts w:ascii="Times New Roman" w:hAnsi="Times New Roman" w:cs="Times New Roman"/>
          <w:sz w:val="24"/>
          <w:szCs w:val="24"/>
        </w:rPr>
        <w:t xml:space="preserve"> r. poz. 7</w:t>
      </w:r>
      <w:r w:rsidR="002E3044" w:rsidRPr="00984D21">
        <w:rPr>
          <w:rFonts w:ascii="Times New Roman" w:hAnsi="Times New Roman" w:cs="Times New Roman"/>
          <w:sz w:val="24"/>
          <w:szCs w:val="24"/>
        </w:rPr>
        <w:t>0</w:t>
      </w:r>
      <w:r w:rsidRPr="00984D21"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4D21">
        <w:rPr>
          <w:rFonts w:ascii="Times New Roman" w:hAnsi="Times New Roman" w:cs="Times New Roman"/>
          <w:sz w:val="24"/>
          <w:szCs w:val="24"/>
        </w:rPr>
        <w:t>. zm.), tj.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84D21">
        <w:rPr>
          <w:rFonts w:ascii="Times New Roman" w:hAnsi="Times New Roman" w:cs="Times New Roman"/>
          <w:sz w:val="24"/>
          <w:szCs w:val="24"/>
        </w:rPr>
        <w:t>. Dz. U. z 2017 r. poz. 2247) – w szczególności w formatach: .pdf, .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84D2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84D21">
        <w:rPr>
          <w:rFonts w:ascii="Times New Roman" w:hAnsi="Times New Roman" w:cs="Times New Roman"/>
          <w:sz w:val="24"/>
          <w:szCs w:val="24"/>
        </w:rPr>
        <w:t>, .rtf lub .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984D21">
        <w:rPr>
          <w:rFonts w:ascii="Times New Roman" w:hAnsi="Times New Roman" w:cs="Times New Roman"/>
          <w:sz w:val="24"/>
          <w:szCs w:val="24"/>
        </w:rPr>
        <w:t>.</w:t>
      </w:r>
    </w:p>
    <w:p w14:paraId="038A9F28" w14:textId="6FF119F3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Oferta wraz ze wszystkimi załącznikami musi być podpisana przez osoby uprawnione do reprezentowania wykonawcy, zgodnie z wpisem do właściwego rejestru lub centralnej ewidencji i informacji o działalności gospodarczej albo przez osobę umocowaną do podpisania oferty. Pełnomocnictwo we właściwej formie, </w:t>
      </w:r>
      <w:r w:rsidRPr="00984D21">
        <w:rPr>
          <w:rFonts w:ascii="Times New Roman" w:hAnsi="Times New Roman" w:cs="Times New Roman"/>
          <w:snapToGrid w:val="0"/>
          <w:sz w:val="24"/>
          <w:szCs w:val="24"/>
        </w:rPr>
        <w:t>z określeniem jego zakresu</w:t>
      </w:r>
      <w:r w:rsidRPr="00984D21">
        <w:rPr>
          <w:rFonts w:ascii="Times New Roman" w:hAnsi="Times New Roman" w:cs="Times New Roman"/>
          <w:sz w:val="24"/>
          <w:szCs w:val="24"/>
        </w:rPr>
        <w:t>, powinno być dołączone do oferty, o ile nie wynika z innych załączonych dokumentów.</w:t>
      </w:r>
    </w:p>
    <w:p w14:paraId="7808795A" w14:textId="4C31BA0D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 xml:space="preserve">Zgodnie z przepisem art. 99 § 1 Kodeksu cywilnego, pełnomocnictwo do dokonania czynności prawnej – złożenia oferty, która na mocy przepisu art. 10a ust. 5 ustawy musi być sporządzona, pod rygorem nieważności, w postaci elektronicznej i opatrzona </w:t>
      </w:r>
      <w:r w:rsidRPr="00984D21">
        <w:rPr>
          <w:rFonts w:ascii="Times New Roman" w:hAnsi="Times New Roman" w:cs="Times New Roman"/>
          <w:snapToGrid w:val="0"/>
          <w:sz w:val="24"/>
          <w:szCs w:val="24"/>
        </w:rPr>
        <w:lastRenderedPageBreak/>
        <w:t>kwalifikowanym podpisem elektronicznym, powinno być udzielone w tej samej formie.</w:t>
      </w:r>
      <w:r w:rsidRPr="00984D21">
        <w:rPr>
          <w:rFonts w:ascii="Times New Roman" w:hAnsi="Times New Roman" w:cs="Times New Roman"/>
          <w:sz w:val="24"/>
          <w:szCs w:val="24"/>
        </w:rPr>
        <w:t xml:space="preserve"> W takim przypadku </w:t>
      </w:r>
      <w:r w:rsidRPr="00984D21">
        <w:rPr>
          <w:rFonts w:ascii="Times New Roman" w:hAnsi="Times New Roman" w:cs="Times New Roman"/>
          <w:snapToGrid w:val="0"/>
          <w:sz w:val="24"/>
          <w:szCs w:val="24"/>
        </w:rPr>
        <w:t>pełnomocnictwo należy złożyć w oryginale w postaci dokumentu elektronicznego.</w:t>
      </w:r>
    </w:p>
    <w:p w14:paraId="782457E5" w14:textId="1279229E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zgodności z oryginałem przez notariusza opatrzonej jego kwalifikowanym podpisem elektronicznym. </w:t>
      </w:r>
    </w:p>
    <w:p w14:paraId="254CE31B" w14:textId="6388CEF9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napToGrid w:val="0"/>
          <w:sz w:val="24"/>
          <w:szCs w:val="24"/>
        </w:rPr>
        <w:t>Wykonawcy wspólnie ubiegający się o udzielenie zamówienia składają pełnomocnictwo do reprezentowania ich w postępowaniu o udzielenie zamówienia albo reprezentowania w postępowaniu i zawarcia umowy w sprawie zamówienia publicznego dla ustanowionego przez nich pełnomocnika. Do oferty należy załączyć pełnomocnictwo z określeniem jego zakresu.</w:t>
      </w:r>
    </w:p>
    <w:p w14:paraId="11B1407A" w14:textId="77777777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Treść oferty musi odpowiadać treści SIWZ. Zaleca się przy sporządzaniu oferty skorzystanie ze wzorów formularzy przygotowanych przez zamawiającego. Wykonawca może złożyć ofertę przygotowaną samodzielnie z zastrzeżeniem, że będzie one zawierać wszystkie niezbędne oświadczenia oraz informacje określone przez zamawiającego w treści wzorów załączonych do SIWZ.</w:t>
      </w:r>
    </w:p>
    <w:p w14:paraId="58034E9A" w14:textId="77777777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Wykonawca winien wczytać ofertę jako załącznik na Platformie, według Instrukcji korzystania z Platformy, przy użyciu zakładki „Załączniki”. </w:t>
      </w:r>
    </w:p>
    <w:p w14:paraId="11EB5253" w14:textId="3577C381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Zamawiający nie ponosi odpowiedzialności za złożenie oferty w sposób niezgodny </w:t>
      </w:r>
      <w:r w:rsidRPr="00984D21">
        <w:rPr>
          <w:rFonts w:ascii="Times New Roman" w:hAnsi="Times New Roman" w:cs="Times New Roman"/>
          <w:sz w:val="24"/>
          <w:szCs w:val="24"/>
        </w:rPr>
        <w:br/>
        <w:t>z Instrukcją korzystania z Platformy, w szczególności za sytuację, gdy zamawiający zapozna się z treścią oferty przed upływem terminu składania ofert</w:t>
      </w:r>
      <w:r w:rsidR="005F708F" w:rsidRPr="00984D21">
        <w:rPr>
          <w:rFonts w:ascii="Times New Roman" w:hAnsi="Times New Roman" w:cs="Times New Roman"/>
          <w:sz w:val="24"/>
          <w:szCs w:val="24"/>
        </w:rPr>
        <w:t xml:space="preserve"> (złożenie oferty w zakładce Pytania/Informacje).</w:t>
      </w:r>
    </w:p>
    <w:p w14:paraId="0BC1EE9B" w14:textId="77777777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Wykonawca ponosi koszty związane z przygotowaniem i złożeniem oferty za wyjątkiem okoliczności, o których mowa w art. 93 ust. 4 ustawy.</w:t>
      </w:r>
    </w:p>
    <w:p w14:paraId="29EB697B" w14:textId="57E6DDDB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Wykonawca, nie później niż w terminie składania ofert, ma prawo zastrzec w swojej ofercie informacje stanowiące tajemnicę przedsiębiorstwa w rozumieniu przepisów ustawy z dnia 16 kwietnia 1993 r. o zwalczaniu nieuczciwej konkurencji (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84D21">
        <w:rPr>
          <w:rFonts w:ascii="Times New Roman" w:hAnsi="Times New Roman" w:cs="Times New Roman"/>
          <w:sz w:val="24"/>
          <w:szCs w:val="24"/>
        </w:rPr>
        <w:t>.: Dz. U. z 201</w:t>
      </w:r>
      <w:r w:rsidR="002E3044" w:rsidRPr="00984D21">
        <w:rPr>
          <w:rFonts w:ascii="Times New Roman" w:hAnsi="Times New Roman" w:cs="Times New Roman"/>
          <w:sz w:val="24"/>
          <w:szCs w:val="24"/>
        </w:rPr>
        <w:t>9</w:t>
      </w:r>
      <w:r w:rsidRPr="00984D2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E3044" w:rsidRPr="00984D21">
        <w:rPr>
          <w:rFonts w:ascii="Times New Roman" w:hAnsi="Times New Roman" w:cs="Times New Roman"/>
          <w:sz w:val="24"/>
          <w:szCs w:val="24"/>
        </w:rPr>
        <w:t>1010</w:t>
      </w:r>
      <w:r w:rsidRPr="00984D21">
        <w:rPr>
          <w:rFonts w:ascii="Times New Roman" w:hAnsi="Times New Roman" w:cs="Times New Roman"/>
          <w:sz w:val="24"/>
          <w:szCs w:val="24"/>
        </w:rPr>
        <w:t>). W takim przypadku Wykonawca powinien zastrzeżoną część oferty wyodrębnić w postaci niezależnych plików i wczytać je wraz z ofertą w sposób określony w Instrukcji korzystania z Platformy dla tego rodzaju informacji (wraz z jednoczesnym zaznaczeniem polecenia „Załącznik stanowiący tajemnicę przedsiębiorstwa”). Zamawiający zaleca, aby pliki zawierające informacje zastrzeżone, jako tajemnica przedsiębiorstwa zostały przez wykonawcę nazwane przy użyciu zwrotu</w:t>
      </w:r>
      <w:r w:rsidR="0033112C" w:rsidRPr="00984D21">
        <w:rPr>
          <w:rFonts w:ascii="Times New Roman" w:hAnsi="Times New Roman" w:cs="Times New Roman"/>
          <w:sz w:val="24"/>
          <w:szCs w:val="24"/>
        </w:rPr>
        <w:t xml:space="preserve"> „</w:t>
      </w:r>
      <w:r w:rsidRPr="00984D21">
        <w:rPr>
          <w:rFonts w:ascii="Times New Roman" w:hAnsi="Times New Roman" w:cs="Times New Roman"/>
          <w:sz w:val="24"/>
          <w:szCs w:val="24"/>
        </w:rPr>
        <w:t>informacje stanowiące tajemnice przedsiębiorstwa”. Zamawiający nie ujawni informacji stanowiących tajemnicę przedsiębiorstwa w rozumieniu przepisów, o których mowa powyżej, jeżeli Wykonawca nie później niż w terminie składania ofert zastrzegł, że nie mogą być one udostępniane oraz wykazał, iż zastrzeżone informacje stanowią tajemnicę przedsiębiorstwa. Wykonawca nie może zastrzec informacji, o których mowa w art. 86 ust. 4 ustawy.</w:t>
      </w:r>
    </w:p>
    <w:p w14:paraId="473A5DDD" w14:textId="3C0694D7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lastRenderedPageBreak/>
        <w:t xml:space="preserve">Wykonawca, za pośrednictwem Platformy może przed upływem terminu do składania ofert zmienić lub wycofać ofertę. Sposób dokonywania zmiany lub wycofania oferty polega na usunięciu plików składających się na ofertę. </w:t>
      </w:r>
    </w:p>
    <w:p w14:paraId="252FBA62" w14:textId="77777777" w:rsidR="00BC1420" w:rsidRPr="00984D21" w:rsidRDefault="00BC1420" w:rsidP="00BC1420">
      <w:pPr>
        <w:numPr>
          <w:ilvl w:val="0"/>
          <w:numId w:val="6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Wykonawca po upływie terminu do składania ofert nie może skutecznie dokonać zmiany ani wycofać złożonej oferty.</w:t>
      </w:r>
    </w:p>
    <w:p w14:paraId="1A531105" w14:textId="77777777" w:rsidR="00122491" w:rsidRPr="00984D21" w:rsidRDefault="00122491">
      <w:pPr>
        <w:rPr>
          <w:rFonts w:ascii="Times New Roman" w:hAnsi="Times New Roman" w:cs="Times New Roman"/>
          <w:sz w:val="24"/>
          <w:szCs w:val="24"/>
        </w:rPr>
      </w:pPr>
    </w:p>
    <w:p w14:paraId="304F67D2" w14:textId="77777777" w:rsidR="002A094F" w:rsidRPr="00984D21" w:rsidRDefault="002A094F" w:rsidP="002A094F">
      <w:pPr>
        <w:pStyle w:val="Akapitzlist"/>
        <w:numPr>
          <w:ilvl w:val="0"/>
          <w:numId w:val="1"/>
        </w:numPr>
        <w:tabs>
          <w:tab w:val="left" w:pos="567"/>
        </w:tabs>
        <w:spacing w:after="120" w:line="264" w:lineRule="auto"/>
        <w:ind w:left="425" w:hanging="425"/>
        <w:contextualSpacing w:val="0"/>
        <w:jc w:val="both"/>
        <w:rPr>
          <w:b/>
          <w:snapToGrid w:val="0"/>
          <w:sz w:val="24"/>
          <w:szCs w:val="24"/>
        </w:rPr>
      </w:pPr>
      <w:r w:rsidRPr="00984D21">
        <w:rPr>
          <w:b/>
          <w:snapToGrid w:val="0"/>
          <w:sz w:val="24"/>
          <w:szCs w:val="24"/>
        </w:rPr>
        <w:t>Miejsce oraz termin składania i otwarcia ofert.</w:t>
      </w:r>
    </w:p>
    <w:p w14:paraId="4DF2E980" w14:textId="2253A7CA" w:rsidR="00BC1420" w:rsidRPr="00984D21" w:rsidRDefault="005F708F" w:rsidP="00BC1420">
      <w:pPr>
        <w:numPr>
          <w:ilvl w:val="0"/>
          <w:numId w:val="5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O</w:t>
      </w:r>
      <w:r w:rsidR="00BC1420" w:rsidRPr="00984D21">
        <w:rPr>
          <w:rFonts w:ascii="Times New Roman" w:hAnsi="Times New Roman" w:cs="Times New Roman"/>
          <w:sz w:val="24"/>
          <w:szCs w:val="24"/>
        </w:rPr>
        <w:t xml:space="preserve">ferty należy złożyć za pośrednictwem Platformy pod adresem: </w:t>
      </w:r>
      <w:r w:rsidR="00D63686" w:rsidRPr="00984D21">
        <w:rPr>
          <w:rStyle w:val="Hipercze"/>
          <w:rFonts w:ascii="Times New Roman" w:hAnsi="Times New Roman"/>
          <w:sz w:val="24"/>
          <w:szCs w:val="24"/>
        </w:rPr>
        <w:t>https://zmsp.eb2b.com.pl/</w:t>
      </w:r>
      <w:r w:rsidR="00202CF1" w:rsidRPr="00984D21">
        <w:rPr>
          <w:rFonts w:ascii="Times New Roman" w:hAnsi="Times New Roman" w:cs="Times New Roman"/>
          <w:sz w:val="24"/>
          <w:szCs w:val="24"/>
        </w:rPr>
        <w:t xml:space="preserve"> </w:t>
      </w:r>
      <w:r w:rsidR="00BC1420" w:rsidRPr="00984D21">
        <w:rPr>
          <w:rFonts w:ascii="Times New Roman" w:hAnsi="Times New Roman" w:cs="Times New Roman"/>
          <w:sz w:val="24"/>
          <w:szCs w:val="24"/>
        </w:rPr>
        <w:t>przy użyciu zakładki „</w:t>
      </w:r>
      <w:r w:rsidR="00BC1420" w:rsidRPr="00984D21">
        <w:rPr>
          <w:rFonts w:ascii="Times New Roman" w:hAnsi="Times New Roman" w:cs="Times New Roman"/>
          <w:snapToGrid w:val="0"/>
          <w:sz w:val="24"/>
          <w:szCs w:val="24"/>
        </w:rPr>
        <w:t>Załączniki”</w:t>
      </w:r>
      <w:r w:rsidR="00BC1420" w:rsidRPr="00984D21">
        <w:rPr>
          <w:rFonts w:ascii="Times New Roman" w:hAnsi="Times New Roman" w:cs="Times New Roman"/>
          <w:sz w:val="24"/>
          <w:szCs w:val="24"/>
        </w:rPr>
        <w:t xml:space="preserve"> w terminie do dnia:</w:t>
      </w:r>
      <w:r w:rsidR="0098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12.01.</w:t>
      </w:r>
      <w:r w:rsidR="00BC1420" w:rsidRPr="0098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420" w:rsidRPr="00984D21">
        <w:rPr>
          <w:rFonts w:ascii="Times New Roman" w:hAnsi="Times New Roman" w:cs="Times New Roman"/>
          <w:sz w:val="24"/>
          <w:szCs w:val="24"/>
        </w:rPr>
        <w:t>20</w:t>
      </w:r>
      <w:r w:rsidR="00BF0BEE" w:rsidRPr="00984D21">
        <w:rPr>
          <w:rFonts w:ascii="Times New Roman" w:hAnsi="Times New Roman" w:cs="Times New Roman"/>
          <w:sz w:val="24"/>
          <w:szCs w:val="24"/>
        </w:rPr>
        <w:t>20</w:t>
      </w:r>
      <w:r w:rsidR="00BC1420" w:rsidRPr="00984D21">
        <w:rPr>
          <w:rFonts w:ascii="Times New Roman" w:hAnsi="Times New Roman" w:cs="Times New Roman"/>
          <w:sz w:val="24"/>
          <w:szCs w:val="24"/>
        </w:rPr>
        <w:t xml:space="preserve"> r. do godziny</w:t>
      </w:r>
      <w:r w:rsidR="0098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BC1420" w:rsidRPr="00984D21">
        <w:rPr>
          <w:rFonts w:ascii="Times New Roman" w:hAnsi="Times New Roman" w:cs="Times New Roman"/>
          <w:color w:val="000000" w:themeColor="text1"/>
          <w:sz w:val="24"/>
          <w:szCs w:val="24"/>
        </w:rPr>
        <w:t>:00.</w:t>
      </w:r>
    </w:p>
    <w:p w14:paraId="194436CC" w14:textId="77777777" w:rsidR="00984D21" w:rsidRDefault="00BC1420" w:rsidP="00460FD6">
      <w:pPr>
        <w:numPr>
          <w:ilvl w:val="0"/>
          <w:numId w:val="5"/>
        </w:numPr>
        <w:spacing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Oferty zostaną odszyfrowane i otwarte za pośrednictwem Platformy w dniu: </w:t>
      </w:r>
    </w:p>
    <w:p w14:paraId="72B503F0" w14:textId="391D1870" w:rsidR="002A094F" w:rsidRPr="00984D21" w:rsidRDefault="00984D21" w:rsidP="00984D21">
      <w:pPr>
        <w:spacing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12.01.</w:t>
      </w:r>
      <w:r w:rsidR="00BC1420" w:rsidRPr="0098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420" w:rsidRPr="00984D21">
        <w:rPr>
          <w:rFonts w:ascii="Times New Roman" w:hAnsi="Times New Roman" w:cs="Times New Roman"/>
          <w:sz w:val="24"/>
          <w:szCs w:val="24"/>
        </w:rPr>
        <w:t>20</w:t>
      </w:r>
      <w:r w:rsidR="00BF0BEE" w:rsidRPr="00984D21">
        <w:rPr>
          <w:rFonts w:ascii="Times New Roman" w:hAnsi="Times New Roman" w:cs="Times New Roman"/>
          <w:sz w:val="24"/>
          <w:szCs w:val="24"/>
        </w:rPr>
        <w:t>20</w:t>
      </w:r>
      <w:r w:rsidR="00BC1420" w:rsidRPr="00984D21">
        <w:rPr>
          <w:rFonts w:ascii="Times New Roman" w:hAnsi="Times New Roman" w:cs="Times New Roman"/>
          <w:sz w:val="24"/>
          <w:szCs w:val="24"/>
        </w:rPr>
        <w:t xml:space="preserve"> r. o godzinie </w:t>
      </w:r>
      <w:r w:rsidR="00BC1420" w:rsidRPr="00984D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1420" w:rsidRPr="00984D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BC1420" w:rsidRPr="00984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E8DC11" w14:textId="2E74AC16" w:rsidR="002A094F" w:rsidRPr="00BF0BEE" w:rsidRDefault="002A094F" w:rsidP="00BF0BEE">
      <w:pPr>
        <w:jc w:val="both"/>
        <w:rPr>
          <w:rFonts w:ascii="Open Sans" w:hAnsi="Open Sans" w:cs="Open Sans"/>
        </w:rPr>
      </w:pPr>
    </w:p>
    <w:sectPr w:rsidR="002A094F" w:rsidRPr="00BF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D25"/>
    <w:multiLevelType w:val="hybridMultilevel"/>
    <w:tmpl w:val="4D32F850"/>
    <w:lvl w:ilvl="0" w:tplc="607E27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42E1"/>
    <w:multiLevelType w:val="hybridMultilevel"/>
    <w:tmpl w:val="099273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ADD1F6B"/>
    <w:multiLevelType w:val="hybridMultilevel"/>
    <w:tmpl w:val="BCA6CD58"/>
    <w:lvl w:ilvl="0" w:tplc="53E016A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97"/>
    <w:rsid w:val="000D6BCA"/>
    <w:rsid w:val="000D79FC"/>
    <w:rsid w:val="00122491"/>
    <w:rsid w:val="00122DE1"/>
    <w:rsid w:val="00125ACF"/>
    <w:rsid w:val="001C0478"/>
    <w:rsid w:val="001E2FAD"/>
    <w:rsid w:val="001F3D97"/>
    <w:rsid w:val="00202CF1"/>
    <w:rsid w:val="002A094F"/>
    <w:rsid w:val="002D3E50"/>
    <w:rsid w:val="002E3044"/>
    <w:rsid w:val="00323A02"/>
    <w:rsid w:val="0033112C"/>
    <w:rsid w:val="003B7800"/>
    <w:rsid w:val="00460FD6"/>
    <w:rsid w:val="00463AD2"/>
    <w:rsid w:val="0052758B"/>
    <w:rsid w:val="005C63C2"/>
    <w:rsid w:val="005F708F"/>
    <w:rsid w:val="006440C1"/>
    <w:rsid w:val="00663E0E"/>
    <w:rsid w:val="006E52F0"/>
    <w:rsid w:val="007801CF"/>
    <w:rsid w:val="00786338"/>
    <w:rsid w:val="007C775B"/>
    <w:rsid w:val="007F064C"/>
    <w:rsid w:val="0092083D"/>
    <w:rsid w:val="00934365"/>
    <w:rsid w:val="00947923"/>
    <w:rsid w:val="00984D21"/>
    <w:rsid w:val="00AA1863"/>
    <w:rsid w:val="00B410E6"/>
    <w:rsid w:val="00B869D8"/>
    <w:rsid w:val="00BC1420"/>
    <w:rsid w:val="00BF0BEE"/>
    <w:rsid w:val="00C84863"/>
    <w:rsid w:val="00CA5245"/>
    <w:rsid w:val="00D12FC6"/>
    <w:rsid w:val="00D63686"/>
    <w:rsid w:val="00F1368F"/>
    <w:rsid w:val="00F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6793"/>
  <w15:chartTrackingRefBased/>
  <w15:docId w15:val="{DEAC888A-E214-4861-B30B-8758A96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F3D97"/>
    <w:rPr>
      <w:rFonts w:cs="Times New Roman"/>
      <w:color w:val="0000FF"/>
      <w:u w:val="single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1F3D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uiPriority w:val="99"/>
    <w:locked/>
    <w:rsid w:val="001F3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F3D97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F3D9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D9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94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msp.eb2b.com.pl/user/te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msp.eb2b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269C35-7EDE-4E82-9D69-9EE19210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Kunikowski</dc:creator>
  <cp:keywords/>
  <dc:description/>
  <cp:lastModifiedBy>Zbigniew Małkowski</cp:lastModifiedBy>
  <cp:revision>2</cp:revision>
  <dcterms:created xsi:type="dcterms:W3CDTF">2020-12-11T12:05:00Z</dcterms:created>
  <dcterms:modified xsi:type="dcterms:W3CDTF">2020-12-11T12:05:00Z</dcterms:modified>
</cp:coreProperties>
</file>